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5F" w:rsidRPr="00A67B09" w:rsidRDefault="00740E5F" w:rsidP="00740E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0CAA42" wp14:editId="08EC6705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5F" w:rsidRPr="00A67B09" w:rsidRDefault="00740E5F" w:rsidP="00740E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0E5F" w:rsidRPr="00A67B09" w:rsidRDefault="00740E5F" w:rsidP="00740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740E5F" w:rsidRPr="00A67B09" w:rsidRDefault="00740E5F" w:rsidP="00740E5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740E5F" w:rsidRPr="00A67B09" w:rsidRDefault="00740E5F" w:rsidP="00740E5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5F" w:rsidRPr="00A67B09" w:rsidRDefault="00740E5F" w:rsidP="0074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40E5F" w:rsidRPr="00A67B09" w:rsidRDefault="00740E5F" w:rsidP="0074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740E5F" w:rsidRPr="00A67B09" w:rsidRDefault="00740E5F" w:rsidP="00740E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5F" w:rsidRPr="00A67B09" w:rsidRDefault="00740E5F" w:rsidP="00740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32B4" w:rsidRDefault="00740E5F" w:rsidP="00740E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732B4" w:rsidRDefault="00E732B4" w:rsidP="00740E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B4" w:rsidRPr="00E732B4" w:rsidRDefault="00E732B4" w:rsidP="00E732B4">
      <w:pPr>
        <w:ind w:firstLine="426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E732B4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Предложения </w:t>
      </w:r>
      <w:r w:rsidRPr="00E732B4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и заключения </w:t>
      </w:r>
      <w:r w:rsidRPr="00E732B4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по проекту можно направлять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 xml:space="preserve">в период с 10 апреля по 20 апреля 2024 </w:t>
      </w:r>
      <w:bookmarkStart w:id="0" w:name="_GoBack"/>
      <w:bookmarkEnd w:id="0"/>
      <w:r w:rsidRPr="00E732B4">
        <w:rPr>
          <w:rFonts w:ascii="Times New Roman" w:hAnsi="Times New Roman" w:cs="Times New Roman"/>
          <w:i/>
          <w:sz w:val="24"/>
          <w:szCs w:val="24"/>
          <w:lang w:bidi="en-US"/>
        </w:rPr>
        <w:t>по адресу: 628259, Ханты-Мансийский автономный округ – Югра, Советский район, поселок Таежный, улица Железнодорожная, зд.11</w:t>
      </w:r>
    </w:p>
    <w:p w:rsidR="00E732B4" w:rsidRPr="00E732B4" w:rsidRDefault="00E732B4" w:rsidP="00E732B4">
      <w:pPr>
        <w:ind w:firstLine="426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E732B4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на электронную почту администрации городского поселения </w:t>
      </w:r>
      <w:proofErr w:type="gramStart"/>
      <w:r w:rsidRPr="00E732B4">
        <w:rPr>
          <w:rFonts w:ascii="Times New Roman" w:hAnsi="Times New Roman" w:cs="Times New Roman"/>
          <w:i/>
          <w:sz w:val="24"/>
          <w:szCs w:val="24"/>
          <w:lang w:bidi="en-US"/>
        </w:rPr>
        <w:t>Таежный</w:t>
      </w:r>
      <w:proofErr w:type="gramEnd"/>
      <w:r w:rsidRPr="00E732B4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–</w:t>
      </w:r>
      <w:r w:rsidRPr="00E732B4">
        <w:rPr>
          <w:rFonts w:ascii="Times New Roman" w:hAnsi="Times New Roman" w:cs="Times New Roman"/>
          <w:i/>
          <w:sz w:val="24"/>
          <w:szCs w:val="24"/>
          <w:lang w:val="en-US" w:bidi="en-US"/>
        </w:rPr>
        <w:t>taiga</w:t>
      </w:r>
      <w:r w:rsidRPr="00E732B4">
        <w:rPr>
          <w:rFonts w:ascii="Times New Roman" w:hAnsi="Times New Roman" w:cs="Times New Roman"/>
          <w:i/>
          <w:sz w:val="24"/>
          <w:szCs w:val="24"/>
          <w:lang w:bidi="en-US"/>
        </w:rPr>
        <w:t>-</w:t>
      </w:r>
      <w:proofErr w:type="spellStart"/>
      <w:r w:rsidRPr="00E732B4">
        <w:rPr>
          <w:rFonts w:ascii="Times New Roman" w:hAnsi="Times New Roman" w:cs="Times New Roman"/>
          <w:i/>
          <w:sz w:val="24"/>
          <w:szCs w:val="24"/>
          <w:lang w:val="en-US" w:bidi="en-US"/>
        </w:rPr>
        <w:t>admih</w:t>
      </w:r>
      <w:proofErr w:type="spellEnd"/>
      <w:r w:rsidRPr="00E732B4">
        <w:rPr>
          <w:rFonts w:ascii="Times New Roman" w:hAnsi="Times New Roman" w:cs="Times New Roman"/>
          <w:i/>
          <w:sz w:val="24"/>
          <w:szCs w:val="24"/>
          <w:lang w:bidi="en-US"/>
        </w:rPr>
        <w:t>-</w:t>
      </w:r>
      <w:proofErr w:type="spellStart"/>
      <w:r w:rsidRPr="00E732B4">
        <w:rPr>
          <w:rFonts w:ascii="Times New Roman" w:hAnsi="Times New Roman" w:cs="Times New Roman"/>
          <w:i/>
          <w:sz w:val="24"/>
          <w:szCs w:val="24"/>
          <w:lang w:val="en-US" w:bidi="en-US"/>
        </w:rPr>
        <w:t>xmao</w:t>
      </w:r>
      <w:proofErr w:type="spellEnd"/>
      <w:r w:rsidRPr="00E732B4">
        <w:rPr>
          <w:rFonts w:ascii="Times New Roman" w:hAnsi="Times New Roman" w:cs="Times New Roman"/>
          <w:i/>
          <w:sz w:val="24"/>
          <w:szCs w:val="24"/>
          <w:lang w:bidi="en-US"/>
        </w:rPr>
        <w:t>@</w:t>
      </w:r>
      <w:r w:rsidRPr="00E732B4">
        <w:rPr>
          <w:rFonts w:ascii="Times New Roman" w:hAnsi="Times New Roman" w:cs="Times New Roman"/>
          <w:i/>
          <w:sz w:val="24"/>
          <w:szCs w:val="24"/>
          <w:lang w:val="en-US" w:bidi="en-US"/>
        </w:rPr>
        <w:t>mail</w:t>
      </w:r>
      <w:r w:rsidRPr="00E732B4">
        <w:rPr>
          <w:rFonts w:ascii="Times New Roman" w:hAnsi="Times New Roman" w:cs="Times New Roman"/>
          <w:i/>
          <w:sz w:val="24"/>
          <w:szCs w:val="24"/>
          <w:lang w:bidi="en-US"/>
        </w:rPr>
        <w:t>.</w:t>
      </w:r>
      <w:proofErr w:type="spellStart"/>
      <w:r w:rsidRPr="00E732B4">
        <w:rPr>
          <w:rFonts w:ascii="Times New Roman" w:hAnsi="Times New Roman" w:cs="Times New Roman"/>
          <w:i/>
          <w:sz w:val="24"/>
          <w:szCs w:val="24"/>
          <w:lang w:val="en-US" w:bidi="en-US"/>
        </w:rPr>
        <w:t>ru</w:t>
      </w:r>
      <w:proofErr w:type="spellEnd"/>
      <w:r w:rsidRPr="00E732B4">
        <w:rPr>
          <w:rStyle w:val="a6"/>
          <w:rFonts w:ascii="Times New Roman" w:hAnsi="Times New Roman" w:cs="Times New Roman"/>
          <w:i/>
          <w:sz w:val="24"/>
          <w:szCs w:val="24"/>
          <w:lang w:bidi="en-US"/>
        </w:rPr>
        <w:t xml:space="preserve"> </w:t>
      </w:r>
    </w:p>
    <w:p w:rsidR="00740E5F" w:rsidRPr="00A67B09" w:rsidRDefault="00740E5F" w:rsidP="00740E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40E5F" w:rsidRDefault="00740E5F" w:rsidP="00740E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E5F" w:rsidRPr="00807769" w:rsidRDefault="00740E5F" w:rsidP="00740E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2024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0E5F" w:rsidRDefault="00740E5F" w:rsidP="00D14DF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D14DFA" w:rsidRPr="00740E5F" w:rsidRDefault="00D14DFA" w:rsidP="00740E5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Порядке предоставления жилых помещений муниципального жилищного фонда </w:t>
      </w:r>
      <w:r w:rsidR="0074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74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Таежный</w:t>
      </w:r>
      <w:proofErr w:type="gramEnd"/>
      <w:r w:rsidRPr="0074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коммерческого использования</w:t>
      </w:r>
    </w:p>
    <w:p w:rsidR="00D14DFA" w:rsidRPr="00D14DFA" w:rsidRDefault="00D14DFA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A" w:rsidRPr="00D14DFA" w:rsidRDefault="00D14DFA" w:rsidP="00D14DF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</w:p>
    <w:p w:rsidR="00D14DFA" w:rsidRPr="00740E5F" w:rsidRDefault="00D14DFA" w:rsidP="007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6" w:tgtFrame="_blank" w:history="1">
        <w:r w:rsidRPr="00740E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Гражданским кодексом Российской Федерации, Федеральным законом от 06.10.2003 </w:t>
      </w:r>
      <w:hyperlink r:id="rId7" w:tgtFrame="_blank" w:history="1">
        <w:r w:rsidRPr="00740E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131-ФЗ «Об общих</w:t>
        </w:r>
      </w:hyperlink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принципах организации местного самоуправления в Российской Федерации», </w:t>
      </w:r>
      <w:hyperlink r:id="rId8" w:tgtFrame="_blank" w:history="1">
        <w:r w:rsidRPr="00740E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Уставом </w:t>
        </w:r>
        <w:r w:rsidR="00740E5F" w:rsidRPr="00740E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городского</w:t>
        </w:r>
      </w:hyperlink>
      <w:r w:rsidR="00740E5F"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proofErr w:type="gramStart"/>
      <w:r w:rsidR="00740E5F"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proofErr w:type="gramEnd"/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14DFA" w:rsidRPr="00740E5F" w:rsidRDefault="00D14DFA" w:rsidP="007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Порядок предоставления жилых помещений муниципального жилищного фонда </w:t>
      </w:r>
      <w:r w:rsidR="00740E5F" w:rsidRPr="00740E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городского поселения Таежный</w:t>
      </w: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коммерческого использования (приложение).</w:t>
      </w:r>
    </w:p>
    <w:p w:rsidR="00D14DFA" w:rsidRPr="00740E5F" w:rsidRDefault="00D14DFA" w:rsidP="007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Опубликовать настоящее постановление в порядке, установленном </w:t>
      </w:r>
      <w:hyperlink r:id="rId9" w:tgtFrame="_blank" w:history="1">
        <w:r w:rsidRPr="00740E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Уставом </w:t>
        </w:r>
        <w:r w:rsidR="00740E5F" w:rsidRPr="00740E5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городского поселения </w:t>
        </w:r>
        <w:proofErr w:type="gramStart"/>
        <w:r w:rsidR="00740E5F" w:rsidRPr="00740E5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Таежный</w:t>
        </w:r>
        <w:proofErr w:type="gramEnd"/>
      </w:hyperlink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разместить на официальном сайте.</w:t>
      </w:r>
    </w:p>
    <w:p w:rsidR="00D14DFA" w:rsidRPr="00740E5F" w:rsidRDefault="00D14DFA" w:rsidP="007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D14DFA" w:rsidRPr="00740E5F" w:rsidRDefault="00D14DFA" w:rsidP="007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40E5F" w:rsidRDefault="00740E5F" w:rsidP="0074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0E5F" w:rsidRDefault="00740E5F" w:rsidP="0074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0E5F" w:rsidRDefault="00740E5F" w:rsidP="0074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4DFA" w:rsidRPr="00740E5F" w:rsidRDefault="00740E5F" w:rsidP="0074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городского поселения </w:t>
      </w:r>
      <w:proofErr w:type="gramStart"/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proofErr w:type="gramEnd"/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А.Р. </w:t>
      </w:r>
      <w:proofErr w:type="spellStart"/>
      <w:r w:rsidRPr="00740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Аширов</w:t>
      </w:r>
      <w:proofErr w:type="spellEnd"/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4DFA" w:rsidRPr="00740E5F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D14DFA" w:rsidRPr="00740E5F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740E5F"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D14DFA" w:rsidRPr="00740E5F" w:rsidRDefault="00740E5F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</w:p>
    <w:p w:rsidR="00D14DFA" w:rsidRPr="00740E5F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№ </w:t>
      </w:r>
    </w:p>
    <w:p w:rsidR="00D14DFA" w:rsidRPr="00740E5F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E5F" w:rsidRDefault="00740E5F" w:rsidP="00D14DFA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740E5F" w:rsidRDefault="00740E5F" w:rsidP="00D14DFA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14DFA" w:rsidRPr="00740E5F" w:rsidRDefault="00D14DFA" w:rsidP="00D14DF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предоставления жилых помещений муниципального жилищного фонда </w:t>
      </w:r>
      <w:r w:rsidR="0074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поселения Таежный</w:t>
      </w:r>
      <w:r w:rsidRPr="0074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коммерческого использования</w:t>
      </w:r>
    </w:p>
    <w:p w:rsidR="00D14DFA" w:rsidRPr="00740E5F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DFA" w:rsidRPr="00740E5F" w:rsidRDefault="00D14DFA" w:rsidP="00D14DFA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14DFA" w:rsidRPr="00740E5F" w:rsidRDefault="00D14DFA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A" w:rsidRPr="00740E5F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предоставления жилых помещений муниципального жилищного фонда </w:t>
      </w:r>
      <w:r w:rsidR="00740E5F"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Таежный</w:t>
      </w:r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коммерческого использования (далее Порядок) определяет категории граждан, имеющих право на предоставление жилых помещений муниципального жилищного фонда </w:t>
      </w:r>
      <w:r w:rsidR="00740E5F"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Таежный</w:t>
      </w:r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коммерческого использования </w:t>
      </w:r>
      <w:proofErr w:type="gramStart"/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условия</w:t>
      </w:r>
      <w:proofErr w:type="gramEnd"/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порядок их предоставления.</w:t>
      </w:r>
    </w:p>
    <w:p w:rsidR="00D14DFA" w:rsidRPr="00740E5F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1.2. Отнесение жилых помещений муниципального жилищного фонда </w:t>
      </w:r>
      <w:r w:rsidR="00740E5F"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740E5F"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жилищному фонду коммерческого использования (далее-жилые помещения коммерческого использования) и исключение жилого помещения из муниципального жилищного фонда коммерческого использования осуществляется на основании постановления администрации </w:t>
      </w:r>
      <w:r w:rsidR="00740E5F"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Таежный</w:t>
      </w:r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DFA" w:rsidRPr="00740E5F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40E5F"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Жилые помещения коммерческого использования предоставляются гражданам, не обеспеченным жилыми посещениями на территории </w:t>
      </w:r>
      <w:r w:rsidR="00740E5F"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740E5F"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74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DFA" w:rsidRPr="00D14DFA" w:rsidRDefault="00D14DFA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A" w:rsidRPr="00740E5F" w:rsidRDefault="00D14DFA" w:rsidP="00740E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Категории граждан, имеющие право на обеспечение жилыми помещениями коммерческого использования и условия предоставления жилых помещений</w:t>
      </w:r>
    </w:p>
    <w:p w:rsidR="00D14DFA" w:rsidRPr="00D14DFA" w:rsidRDefault="00D14DFA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A" w:rsidRPr="00ED3A53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Жилые помещения коммерческого использования предоставляются следующим категориям граждан, не обеспеченным жилыми помещениями:</w:t>
      </w:r>
    </w:p>
    <w:p w:rsidR="00D14DFA" w:rsidRPr="00ED3A53" w:rsidRDefault="00740E5F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4DFA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="00D14DFA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семьям</w:t>
      </w:r>
      <w:proofErr w:type="gramEnd"/>
      <w:r w:rsidR="00D14DFA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имеющим четырех и более детей, проживающим на территории </w:t>
      </w: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Таежный</w:t>
      </w:r>
      <w:r w:rsidR="00D14DFA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DFA" w:rsidRPr="00ED3A53" w:rsidRDefault="00740E5F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4DFA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гражданам, состоящим на учете в органах местного самоуправления муниципальных образований </w:t>
      </w: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Таежный</w:t>
      </w:r>
      <w:r w:rsidR="00D14DFA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качестве нуждающихся в жилых помещениях, предоставляемых по договорам социального найма (далее учет).</w:t>
      </w:r>
      <w:proofErr w:type="gramEnd"/>
    </w:p>
    <w:p w:rsidR="00D14DFA" w:rsidRPr="00ED3A53" w:rsidRDefault="00ED3A53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4DFA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Инвалидам и семьям, имеющим детей-инвалидов, проживающим на территории Советского района.</w:t>
      </w:r>
    </w:p>
    <w:p w:rsidR="00D14DFA" w:rsidRPr="00ED3A53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D3A53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Граждане, указанные в </w:t>
      </w:r>
      <w:r w:rsidR="00ED3A53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пунктах 1,3 </w:t>
      </w: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2.1. настоящего раздела, признаются не обеспеченными жилыми помещениями при следующих условиях:</w:t>
      </w:r>
    </w:p>
    <w:p w:rsidR="00D14DFA" w:rsidRPr="00ED3A53" w:rsidRDefault="00D14DFA" w:rsidP="00D9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граждане не являются нанимателями жилых помещений по договорам о предоставлении жилого помещения муниципального жилищного фонда или членами семьи </w:t>
      </w: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нанимателя жилого помещения по договорам о предоставлении жилого помещения муниципального жилищного фонда либо собственниками жилых помещений или членами семьи собственника жилого помещения, на территории </w:t>
      </w:r>
      <w:r w:rsidR="00ED3A53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D3A53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4DFA" w:rsidRPr="00ED3A53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граждане являются нанимателями жилых помещений по договорам о предоставлении жилого помещения муниципального жилищного фонда или членами семьи нанимателя жилого помещения по договорам о предоставлении жилого помещения муниципального жилищного фонда, собственником жилого помещения или членами семьи собственника жилого помещения и обеспеченные, на территории </w:t>
      </w:r>
      <w:r w:rsidR="00ED3A53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Таежный</w:t>
      </w: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общей площадью жилого помещения на одного члена семьи менее учетной нормы;</w:t>
      </w:r>
      <w:proofErr w:type="gramEnd"/>
    </w:p>
    <w:p w:rsidR="00D14DFA" w:rsidRPr="00ED3A53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граждане проживание в помещениях, не отвечающих установленным для жилых помещений требованиям, на территории </w:t>
      </w:r>
      <w:r w:rsidR="00ED3A53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D3A53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DFA" w:rsidRPr="00ED3A53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D3A53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Граждане, указанные в пункте </w:t>
      </w:r>
      <w:r w:rsidR="00ED3A53"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2.1 настоящего раздела признаются не обеспеченными жилыми помещениями, в случае если в отношении таких граждан уполномоченным органом местного самоуправления, принято решение о принятии на учет.</w:t>
      </w:r>
    </w:p>
    <w:p w:rsidR="00D14DFA" w:rsidRPr="00D14DFA" w:rsidRDefault="00D14DFA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A" w:rsidRPr="00ED3A53" w:rsidRDefault="00D14DFA" w:rsidP="00D14DF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3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предоставления жилых помещений коммерческого использования</w:t>
      </w:r>
    </w:p>
    <w:p w:rsidR="00D14DFA" w:rsidRPr="00D14DFA" w:rsidRDefault="00D14DFA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Жилое помещение коммерческого использования предоставляется гражданам, указанным в части 2.1. раздела 2 настоящего Порядка, на основании: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заявления о предоставлении жилого помещения (далее заявление), подписанного заявителем и всеми совершеннолетними членами семьи заявителя согласно приложению к настоящему Порядку (далее заявитель);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Граждане, указанные в части 2.1 раздела 2 настоящего Порядка, предоставляют документы: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заявление;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документы, удостоверяющие личность заявителя и членов его семьи, достигших возраста 14 лет, указанных в заявлении;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документ, подтверждающий полномочия представителя заявителя, в случае, если с заявлением обратился представитель заявителя;</w:t>
      </w:r>
    </w:p>
    <w:p w:rsidR="00D14DFA" w:rsidRPr="004B38A0" w:rsidRDefault="00ED3A53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4DFA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сведения </w:t>
      </w:r>
      <w:proofErr w:type="gramStart"/>
      <w:r w:rsidR="00D14DFA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="00D14DFA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экспертизы, подтверждающие отнесение заявителя к категории инвалид или семьи, имеющей ребенка-инвалида (для заявителей, указанных в пункте 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4DFA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2.1 раздела 2 настоящего Порядка).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 сведения подтверждающие проживание заявителя на территории </w:t>
      </w:r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Таежный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(трудовой договор, договор аренды, найма жилого помещения).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городского поселения </w:t>
      </w:r>
      <w:proofErr w:type="gramStart"/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порядке межведомственного информационного взаимодействия на граждан, указанных в части 2.1 раздела 2 настоящего Порядка запрашивает следующие документы: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сведения подтверждающие проживание заявителя на территории </w:t>
      </w:r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Таежный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(сведения о регистрации заявителя и членов семьи заявителя, указанных в заявлении при условии, что заявитель указал в заявлении адрес регистрации).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сведения о наличии или отсутствии жилых помещений на праве собственности в отношении заявителя и членов его семьи (выписка из Единого государственного реестра недвижимости);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сведения о наличии (отсутствии) жилых помещений, предоставленных заявителю и членам его семьи, по договорам найма на территории населенного пункта;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сведения о признании жилого помещения </w:t>
      </w:r>
      <w:proofErr w:type="gramStart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непригодным</w:t>
      </w:r>
      <w:proofErr w:type="gram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проживания, многоквартирного дома аварийным;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сведения о государственной регистрации актов гражданского состояния в отношении заявителя и членов его семьи (о рождении детей, о перемене имени, о заключении (расторжении) брака, об усыновлении (удочерении), об установлении отцовства);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сведения о принятии на учет уполномоченным органом местного самоуправления.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 выписка из реестра муниципальной собственности муниципального образования </w:t>
      </w:r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жилого помещения коммерческого использования.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Документы, указанные в части 3.</w:t>
      </w:r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раздела заявитель вправе предоставить по собственной инициативе.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рассмотрения заявления и документов, указанных в частях 3.1-3.</w:t>
      </w:r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раздела, администрация </w:t>
      </w:r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одно из следующих решений: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 предоставлении жилого помещения коммерческого использования (решение принимается в форме постановления администрации </w:t>
      </w:r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D3A53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постановление);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 отказе в предоставлении жилого помещения коммерческого использования (решение об отказе принимается в виде уведомления на официальном бланке администрации 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4DFA" w:rsidRPr="004B38A0" w:rsidRDefault="004B38A0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D14DFA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Решение, указанное в части 3.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14DFA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раздела принимается в срок не позднее 30 дней со дня регистрации заявления и направляется заявителю в течение 3 рабочих дней со дня его принятия.</w:t>
      </w:r>
    </w:p>
    <w:p w:rsidR="00D14DFA" w:rsidRPr="004B38A0" w:rsidRDefault="004B38A0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D14DFA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 отказа в предоставлении жилого помещения: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несоответствие заявителя категориям, указанным в части 2.1 раздела 2 настоящего Порядка;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представлены или предоставлены не в полном объеме документы, указанные в части 3.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раздела;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представлены документы, не соответствующие требованиям, установленным части 3.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раздела;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представлены документы, указанные в части 3.3 настоящего раздела, содержащие недостоверные сведения.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отсутствие на территории 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свободного жилого помещения коммерческого использования.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основании постановления администрации 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Таежный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жилого помещения </w:t>
      </w:r>
      <w:proofErr w:type="gramStart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</w:t>
      </w:r>
      <w:proofErr w:type="gram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договора найма жилого помещения муниципального жилищного фонда коммерческого использования (далее договор найма).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Жилое помещение коммерческого использования передается заявителю после заключения договора найма на основании акта приема-передачи жилого помещения, являющегося неотъемлемой частью договора найма.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найма заключается в простой письменной форме на срок, определенный договором найма, но не более чем на 5 лет.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срок в договоре найма не определен, договор найма считается заключенным на 5 лет.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Жилое помещение коммерческого использования, предоставленное по договору найма являться постоянным местом жительства нанимателя и членов его семьи, которые вправе зарегистрироваться в нем на постоянной основе.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Граждане, указанные в части 2.1. раздела 2 настоящего Порядка вправе, не </w:t>
      </w:r>
      <w:proofErr w:type="gramStart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месяца до истечения срока действия договора</w:t>
      </w:r>
      <w:r w:rsid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найма обратиться 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заявлением.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Наниматель, который по истечении срока действия договора найма перестал относиться к категориям граждан, указанным в части 2.1. раздела 2 настоящего Порядка, имеет право на заключение договора найма на новый срок в случае отсутствия заявлений других граждан, относящихся к категориям граждан, указанным в части 2.1. раздела 2 настоящего Порядка, или наличия иных жилых помещений, которые могут быть предоставлены указанным гражданам по</w:t>
      </w:r>
      <w:proofErr w:type="gram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договорам найма. Договор найма жилого в указанном случае заключается на один год.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 платы за пользование жилым помещением устанавливается муниципальным правовым актом 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Таежный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Наниматель не вправе без письменного согласия </w:t>
      </w:r>
      <w:proofErr w:type="spellStart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взаимного согласия членов его семьи вселять в жилое помещение коммерческого использования других граждан в качестве постоянно проживающих с нанимателем. При вселении несовершеннолетних детей такое согласие не требуется.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запретить вселение в жилое помещение коммерческого использования граждан в качестве проживающих совместно с нанимателем членов его семьи в случае, если после их вселения общая площадь жилого помещения на 1 члена семьи станет </w:t>
      </w:r>
      <w:proofErr w:type="gramStart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учетной</w:t>
      </w:r>
      <w:proofErr w:type="gram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нормы.</w:t>
      </w:r>
    </w:p>
    <w:p w:rsidR="00D14DFA" w:rsidRPr="00D14DFA" w:rsidRDefault="00D14DFA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A" w:rsidRPr="004B38A0" w:rsidRDefault="00D14DFA" w:rsidP="004B38A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Прекращение и расторжение договора найма</w:t>
      </w:r>
    </w:p>
    <w:p w:rsidR="00D14DFA" w:rsidRPr="00D14DFA" w:rsidRDefault="00D14DFA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Договор найма прекращается по истечении срока, на который он был заключен.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Расторжение договора найма осуществляется в порядке, установленном статьями 687, 688 </w:t>
      </w:r>
      <w:hyperlink r:id="rId10" w:tgtFrame="_blank" w:history="1">
        <w:r w:rsidRPr="004B38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Гражданского кодекса</w:t>
        </w:r>
      </w:hyperlink>
      <w:r w:rsidRPr="004B3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Федерации.</w:t>
      </w:r>
    </w:p>
    <w:p w:rsidR="004B38A0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В случае расторжения или прекращения договора найма наниматель и члены его семьи обязаны в течение 3 рабочих дней освободить жилое помещение и сдать его по акту приема-передачи</w:t>
      </w: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8A0" w:rsidRDefault="004B38A0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4DFA" w:rsidRPr="00D14DFA" w:rsidRDefault="00D14DFA" w:rsidP="00D14D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 жилых помещений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жилищного фонда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коммерческого использования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заявителя)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адрес:______________________________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телефон____________________________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DFA" w:rsidRPr="004B38A0" w:rsidRDefault="00D14DFA" w:rsidP="00D14DF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B38A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Заявление о предоставлении жилого помещения муниципального жилищного фонда коммерческого использования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жилое помещение по договору о предоставлении жилого помещения муниципального жилищного фонда коммерческого </w:t>
      </w:r>
      <w:r w:rsidR="004B38A0"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использования,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DFA" w:rsidRPr="004B38A0" w:rsidRDefault="00D14DFA" w:rsidP="004B3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Сроком на __________ лет, по «___» _________ 20__ г</w:t>
      </w:r>
      <w:proofErr w:type="gramStart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5 лет)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состав семьи: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351"/>
        <w:gridCol w:w="1870"/>
        <w:gridCol w:w="1889"/>
        <w:gridCol w:w="1915"/>
      </w:tblGrid>
      <w:tr w:rsidR="00D14DFA" w:rsidRPr="004B38A0" w:rsidTr="00D14DFA">
        <w:trPr>
          <w:trHeight w:val="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4B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D14DFA" w:rsidRPr="004B38A0" w:rsidTr="00D14DFA">
        <w:trPr>
          <w:trHeight w:val="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4DFA" w:rsidRPr="004B38A0" w:rsidTr="00D14DFA">
        <w:trPr>
          <w:trHeight w:val="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14DFA" w:rsidRPr="004B38A0" w:rsidRDefault="00D14DFA" w:rsidP="00D14DFA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члены моей семьи подтверждаем достоверность и полноту сведений, указанных в настоящем заявлении.</w:t>
      </w:r>
    </w:p>
    <w:p w:rsid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статьи 9 Федерального закона от 27.07.2006 </w:t>
      </w:r>
      <w:hyperlink r:id="rId11" w:tgtFrame="_blank" w:history="1">
        <w:r w:rsidRPr="004B38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152-ФЗ «О персональных данных</w:t>
        </w:r>
      </w:hyperlink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я и члены моей семьи даем согласие администрации </w:t>
      </w:r>
      <w:r w:rsid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Таежный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персональных данных в целях проверки указанных в настоящем заявлении сведений и на направление запросов, необходимых для рассмотрения настоящего заявления. Согласие действует </w:t>
      </w:r>
      <w:proofErr w:type="gramStart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заявления до дня отзыва в письменной форме.</w:t>
      </w:r>
    </w:p>
    <w:p w:rsidR="00D14DFA" w:rsidRPr="004B38A0" w:rsidRDefault="00D14DFA" w:rsidP="00D1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(направить) мне документы, являющиеся результатом предоставления муниципальной услуги __________________________________________________________.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«_____»_____________20___ года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заявителя и всех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совершеннолетних членов семьи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подпись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</w:t>
      </w:r>
    </w:p>
    <w:p w:rsidR="00D14DFA" w:rsidRPr="004B38A0" w:rsidRDefault="00D14DFA" w:rsidP="00D14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подпись</w:t>
      </w:r>
    </w:p>
    <w:p w:rsidR="005A054F" w:rsidRPr="004B38A0" w:rsidRDefault="00D14DFA" w:rsidP="004B3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5A054F" w:rsidRPr="004B38A0" w:rsidSect="00740E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E4"/>
    <w:rsid w:val="00055D38"/>
    <w:rsid w:val="002C6B24"/>
    <w:rsid w:val="004B38A0"/>
    <w:rsid w:val="005A054F"/>
    <w:rsid w:val="00740E5F"/>
    <w:rsid w:val="00A543E4"/>
    <w:rsid w:val="00D14DFA"/>
    <w:rsid w:val="00D96A74"/>
    <w:rsid w:val="00E732B4"/>
    <w:rsid w:val="00E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4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14DFA"/>
  </w:style>
  <w:style w:type="paragraph" w:customStyle="1" w:styleId="13">
    <w:name w:val="Нижний колонтитул1"/>
    <w:basedOn w:val="a"/>
    <w:rsid w:val="00D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3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4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14DFA"/>
  </w:style>
  <w:style w:type="paragraph" w:customStyle="1" w:styleId="13">
    <w:name w:val="Нижний колонтитул1"/>
    <w:basedOn w:val="a"/>
    <w:rsid w:val="00D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3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61B2B90-4E31-471A-8C4E-8DD03B0B73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FB0B1C5F-E136-46C7-95EF-6B3465B9775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70BA400-14C4-4CDB-8A8B-B11F2A1A2F55" TargetMode="External"/><Relationship Id="rId11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ravo-search.minjust.ru/bigs/showDocument.html?id=EA4730E2-0388-4AEE-BD89-0CBC2C5457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61B2B90-4E31-471A-8C4E-8DD03B0B7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6</cp:revision>
  <dcterms:created xsi:type="dcterms:W3CDTF">2024-04-12T11:43:00Z</dcterms:created>
  <dcterms:modified xsi:type="dcterms:W3CDTF">2024-04-22T09:41:00Z</dcterms:modified>
</cp:coreProperties>
</file>