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DCE4A14" wp14:editId="5DFCA2C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98668A" wp14:editId="40A26D1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1</w:t>
                                  </w:r>
                                  <w:r w:rsidR="003735E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82403A" w:rsidRPr="004761E3" w:rsidRDefault="003735EF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="0082403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апреля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1</w:t>
                            </w:r>
                            <w:r w:rsidR="003735E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82403A" w:rsidRPr="004761E3" w:rsidRDefault="003735EF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  <w:r w:rsidR="0082403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апреля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274438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8.7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Pr="00FA667D" w:rsidRDefault="0082403A" w:rsidP="0082403A">
      <w:pPr>
        <w:jc w:val="both"/>
      </w:pPr>
    </w:p>
    <w:p w:rsidR="003735EF" w:rsidRDefault="003735EF" w:rsidP="003735EF">
      <w:pPr>
        <w:jc w:val="center"/>
      </w:pPr>
      <w:bookmarkStart w:id="0" w:name="_GoBack"/>
      <w:bookmarkEnd w:id="0"/>
    </w:p>
    <w:p w:rsidR="003735EF" w:rsidRPr="0038292B" w:rsidRDefault="003735EF" w:rsidP="003735EF">
      <w:pPr>
        <w:jc w:val="center"/>
        <w:rPr>
          <w:b/>
        </w:rPr>
      </w:pPr>
      <w:r>
        <w:t xml:space="preserve">Информация по результатам </w:t>
      </w:r>
      <w:r w:rsidRPr="0038292B">
        <w:rPr>
          <w:b/>
        </w:rPr>
        <w:t>общественных обсуждений</w:t>
      </w:r>
    </w:p>
    <w:p w:rsidR="003735EF" w:rsidRPr="0038292B" w:rsidRDefault="003735EF" w:rsidP="003735EF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38292B">
        <w:rPr>
          <w:b/>
          <w:sz w:val="24"/>
          <w:szCs w:val="24"/>
        </w:rPr>
        <w:t xml:space="preserve">по проекту </w:t>
      </w:r>
      <w:r w:rsidRPr="00AC4827">
        <w:rPr>
          <w:sz w:val="24"/>
          <w:szCs w:val="24"/>
        </w:rPr>
        <w:t xml:space="preserve">постановления администрации городского поселения </w:t>
      </w:r>
      <w:proofErr w:type="gramStart"/>
      <w:r w:rsidRPr="00AC4827">
        <w:rPr>
          <w:sz w:val="24"/>
          <w:szCs w:val="24"/>
        </w:rPr>
        <w:t>Таежный</w:t>
      </w:r>
      <w:proofErr w:type="gramEnd"/>
      <w:r w:rsidRPr="00AC4827">
        <w:rPr>
          <w:sz w:val="24"/>
          <w:szCs w:val="24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</w:p>
    <w:p w:rsidR="003735EF" w:rsidRDefault="003735EF" w:rsidP="003735EF">
      <w:pPr>
        <w:jc w:val="center"/>
        <w:rPr>
          <w:b/>
        </w:rPr>
      </w:pPr>
    </w:p>
    <w:p w:rsidR="003735EF" w:rsidRDefault="003735EF" w:rsidP="003735EF">
      <w:pPr>
        <w:ind w:firstLine="708"/>
        <w:jc w:val="both"/>
      </w:pPr>
      <w:proofErr w:type="gramStart"/>
      <w:r>
        <w:t xml:space="preserve">В целях обсуждения, проекта </w:t>
      </w:r>
      <w:r w:rsidRPr="00AC4827">
        <w:rPr>
          <w:color w:val="000000"/>
        </w:rPr>
        <w:t>постановления администрации городского поселения Таежный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  <w:r>
        <w:t xml:space="preserve">, с непосредственным участием  жителей городского поселения Таёжный, соблюдения прав граждан на благоприятные условия жизнедеятельности в соответствии с  постановлением </w:t>
      </w:r>
      <w:r>
        <w:rPr>
          <w:color w:val="000000"/>
        </w:rPr>
        <w:t>главы городского поселения Таёжный от 28</w:t>
      </w:r>
      <w:r w:rsidRPr="001334D5">
        <w:rPr>
          <w:color w:val="000000"/>
        </w:rPr>
        <w:t>.</w:t>
      </w:r>
      <w:r>
        <w:rPr>
          <w:color w:val="000000"/>
        </w:rPr>
        <w:t>03.2025</w:t>
      </w:r>
      <w:r w:rsidRPr="001334D5">
        <w:rPr>
          <w:color w:val="000000"/>
        </w:rPr>
        <w:t xml:space="preserve"> № </w:t>
      </w:r>
      <w:r>
        <w:rPr>
          <w:color w:val="000000"/>
        </w:rPr>
        <w:t>2 «</w:t>
      </w:r>
      <w:r w:rsidRPr="000D4F6F">
        <w:t xml:space="preserve">О назначении </w:t>
      </w:r>
      <w:r>
        <w:t>общественных</w:t>
      </w:r>
      <w:r w:rsidRPr="000D4F6F">
        <w:t xml:space="preserve"> </w:t>
      </w:r>
      <w:r>
        <w:t>обсуждений</w:t>
      </w:r>
      <w:r w:rsidRPr="000D4F6F">
        <w:t xml:space="preserve"> </w:t>
      </w:r>
      <w:r>
        <w:t xml:space="preserve"> по проекту </w:t>
      </w:r>
      <w:r w:rsidRPr="00AC4827">
        <w:rPr>
          <w:color w:val="000000"/>
        </w:rPr>
        <w:t>постановления администрации городского поселения Таежный  «О</w:t>
      </w:r>
      <w:proofErr w:type="gramEnd"/>
      <w:r w:rsidRPr="00AC4827">
        <w:rPr>
          <w:color w:val="000000"/>
        </w:rPr>
        <w:t xml:space="preserve"> </w:t>
      </w:r>
      <w:proofErr w:type="gramStart"/>
      <w:r w:rsidRPr="00AC4827">
        <w:rPr>
          <w:color w:val="000000"/>
        </w:rPr>
        <w:t>предоставлении</w:t>
      </w:r>
      <w:proofErr w:type="gramEnd"/>
      <w:r w:rsidRPr="00AC4827">
        <w:rPr>
          <w:color w:val="000000"/>
        </w:rPr>
        <w:t xml:space="preserve"> разрешения  на отклонение от предельных параметров  разрешенного строительства, реконструкции объекта капитального строительства»</w:t>
      </w:r>
      <w:r>
        <w:t xml:space="preserve"> проведены общественные обсуждения.</w:t>
      </w:r>
    </w:p>
    <w:p w:rsidR="003735EF" w:rsidRDefault="003735EF" w:rsidP="003735EF">
      <w:pPr>
        <w:ind w:firstLine="708"/>
        <w:jc w:val="both"/>
      </w:pPr>
      <w:r>
        <w:t xml:space="preserve">Информация о проведении общественных обсуждений была размещена в газете </w:t>
      </w:r>
      <w:r>
        <w:rPr>
          <w:color w:val="000000"/>
        </w:rPr>
        <w:t>«Вестник Таёжного» от 28</w:t>
      </w:r>
      <w:r w:rsidRPr="001334D5">
        <w:rPr>
          <w:color w:val="000000"/>
        </w:rPr>
        <w:t>.</w:t>
      </w:r>
      <w:r>
        <w:rPr>
          <w:color w:val="000000"/>
        </w:rPr>
        <w:t>03</w:t>
      </w:r>
      <w:r w:rsidRPr="001334D5">
        <w:rPr>
          <w:color w:val="000000"/>
        </w:rPr>
        <w:t>.20</w:t>
      </w:r>
      <w:r>
        <w:rPr>
          <w:color w:val="000000"/>
        </w:rPr>
        <w:t>25</w:t>
      </w:r>
      <w:r w:rsidRPr="001334D5">
        <w:rPr>
          <w:color w:val="000000"/>
        </w:rPr>
        <w:t xml:space="preserve"> № </w:t>
      </w:r>
      <w:r>
        <w:rPr>
          <w:color w:val="000000"/>
        </w:rPr>
        <w:t>14</w:t>
      </w:r>
      <w:r>
        <w:t>, на официальном сайте городского поселения Таёжный, а также посредством платформы обратной связи.</w:t>
      </w:r>
    </w:p>
    <w:p w:rsidR="003735EF" w:rsidRDefault="003735EF" w:rsidP="003735EF">
      <w:pPr>
        <w:ind w:firstLine="708"/>
        <w:jc w:val="both"/>
      </w:pPr>
      <w:r>
        <w:t>Общественные обсуждения проводились с 28</w:t>
      </w:r>
      <w:r w:rsidRPr="001334D5">
        <w:t>.</w:t>
      </w:r>
      <w:r>
        <w:t>03.2025</w:t>
      </w:r>
      <w:r w:rsidRPr="001334D5">
        <w:t xml:space="preserve"> по </w:t>
      </w:r>
      <w:r>
        <w:t>14</w:t>
      </w:r>
      <w:r w:rsidRPr="001334D5">
        <w:t>.</w:t>
      </w:r>
      <w:r>
        <w:t>04</w:t>
      </w:r>
      <w:r w:rsidRPr="001334D5">
        <w:t>.20</w:t>
      </w:r>
      <w:r>
        <w:t>25</w:t>
      </w:r>
      <w:r w:rsidRPr="001334D5">
        <w:t>.</w:t>
      </w:r>
    </w:p>
    <w:p w:rsidR="003735EF" w:rsidRDefault="003735EF" w:rsidP="003735EF">
      <w:pPr>
        <w:ind w:firstLine="708"/>
        <w:jc w:val="both"/>
      </w:pPr>
      <w:r>
        <w:rPr>
          <w:color w:val="000000"/>
        </w:rPr>
        <w:t>14.03.2025</w:t>
      </w:r>
      <w:r w:rsidRPr="00442683">
        <w:rPr>
          <w:color w:val="000000"/>
        </w:rPr>
        <w:t xml:space="preserve"> в </w:t>
      </w:r>
      <w:r>
        <w:rPr>
          <w:color w:val="000000"/>
        </w:rPr>
        <w:t>16</w:t>
      </w:r>
      <w:r w:rsidRPr="00442683">
        <w:rPr>
          <w:color w:val="000000"/>
        </w:rPr>
        <w:t>-</w:t>
      </w:r>
      <w:r>
        <w:rPr>
          <w:color w:val="000000"/>
        </w:rPr>
        <w:t>30</w:t>
      </w:r>
      <w:r w:rsidRPr="00442683">
        <w:rPr>
          <w:color w:val="000000"/>
        </w:rPr>
        <w:t xml:space="preserve"> часов </w:t>
      </w:r>
      <w:r>
        <w:rPr>
          <w:color w:val="000000"/>
        </w:rPr>
        <w:t xml:space="preserve">по адресу: ХМАО-Югра Советский района поселок Таежный улица Железнодорожная д.11 </w:t>
      </w:r>
      <w:r w:rsidRPr="00442683">
        <w:rPr>
          <w:color w:val="000000"/>
        </w:rPr>
        <w:t xml:space="preserve">состоялись </w:t>
      </w:r>
      <w:r>
        <w:rPr>
          <w:color w:val="000000"/>
        </w:rPr>
        <w:t>общественные обсуждения</w:t>
      </w:r>
      <w:r w:rsidRPr="00442683">
        <w:rPr>
          <w:color w:val="000000"/>
        </w:rPr>
        <w:t xml:space="preserve"> по </w:t>
      </w:r>
      <w:r>
        <w:rPr>
          <w:color w:val="000000"/>
        </w:rPr>
        <w:t xml:space="preserve">проекту </w:t>
      </w:r>
      <w:r w:rsidRPr="00442683">
        <w:rPr>
          <w:color w:val="000000"/>
        </w:rPr>
        <w:t xml:space="preserve"> </w:t>
      </w:r>
      <w:r w:rsidRPr="00AC4827">
        <w:rPr>
          <w:color w:val="000000"/>
        </w:rPr>
        <w:t>постановления администрации городского поселения Таежный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  <w:r>
        <w:rPr>
          <w:bCs/>
        </w:rPr>
        <w:t>.</w:t>
      </w:r>
    </w:p>
    <w:p w:rsidR="003735EF" w:rsidRDefault="003735EF" w:rsidP="003735EF">
      <w:pPr>
        <w:tabs>
          <w:tab w:val="left" w:pos="0"/>
        </w:tabs>
        <w:ind w:right="-6"/>
        <w:jc w:val="both"/>
      </w:pPr>
      <w:r>
        <w:rPr>
          <w:bCs/>
        </w:rPr>
        <w:tab/>
      </w:r>
      <w:r>
        <w:t>В качестве участников общественных обсуждений зарегистрировано 5 человек.</w:t>
      </w:r>
    </w:p>
    <w:p w:rsidR="003735EF" w:rsidRDefault="003735EF" w:rsidP="003735EF">
      <w:pPr>
        <w:tabs>
          <w:tab w:val="left" w:pos="0"/>
        </w:tabs>
        <w:ind w:right="-6"/>
        <w:jc w:val="both"/>
      </w:pPr>
      <w:r>
        <w:tab/>
      </w:r>
      <w:r>
        <w:rPr>
          <w:bCs/>
        </w:rPr>
        <w:t xml:space="preserve">В ходе общественных обсуждений </w:t>
      </w:r>
      <w:r>
        <w:t xml:space="preserve">по проекту </w:t>
      </w:r>
      <w:r w:rsidRPr="00AC4827">
        <w:rPr>
          <w:color w:val="000000"/>
        </w:rPr>
        <w:t xml:space="preserve">постановления администрации городского поселения </w:t>
      </w:r>
      <w:proofErr w:type="gramStart"/>
      <w:r w:rsidRPr="00AC4827">
        <w:rPr>
          <w:color w:val="000000"/>
        </w:rPr>
        <w:t>Таежный</w:t>
      </w:r>
      <w:proofErr w:type="gramEnd"/>
      <w:r w:rsidRPr="00AC4827">
        <w:rPr>
          <w:color w:val="000000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  <w:r>
        <w:t>.</w:t>
      </w:r>
    </w:p>
    <w:p w:rsidR="003735EF" w:rsidRDefault="003735EF" w:rsidP="003735EF">
      <w:pPr>
        <w:tabs>
          <w:tab w:val="left" w:pos="0"/>
        </w:tabs>
        <w:ind w:right="-6"/>
        <w:jc w:val="both"/>
      </w:pPr>
      <w:r>
        <w:tab/>
        <w:t xml:space="preserve">Замечания по проекту </w:t>
      </w:r>
      <w:r w:rsidRPr="00AC4827">
        <w:rPr>
          <w:color w:val="000000"/>
        </w:rPr>
        <w:t xml:space="preserve">постановления администрации городского поселения </w:t>
      </w:r>
      <w:proofErr w:type="gramStart"/>
      <w:r w:rsidRPr="00AC4827">
        <w:rPr>
          <w:color w:val="000000"/>
        </w:rPr>
        <w:t>Таежный</w:t>
      </w:r>
      <w:proofErr w:type="gramEnd"/>
      <w:r w:rsidRPr="00AC4827">
        <w:rPr>
          <w:color w:val="000000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  <w:r>
        <w:t xml:space="preserve"> не поступали.</w:t>
      </w:r>
    </w:p>
    <w:p w:rsidR="003735EF" w:rsidRDefault="003735EF" w:rsidP="003735EF">
      <w:pPr>
        <w:tabs>
          <w:tab w:val="left" w:pos="0"/>
        </w:tabs>
        <w:ind w:right="-6"/>
        <w:jc w:val="both"/>
      </w:pPr>
      <w:r>
        <w:rPr>
          <w:bCs/>
        </w:rPr>
        <w:tab/>
      </w:r>
      <w:r>
        <w:t xml:space="preserve">Общественные обсуждения по проекту </w:t>
      </w:r>
      <w:r w:rsidRPr="00AC4827">
        <w:rPr>
          <w:color w:val="000000"/>
        </w:rPr>
        <w:t xml:space="preserve">постановления администрации городского поселения </w:t>
      </w:r>
      <w:proofErr w:type="gramStart"/>
      <w:r w:rsidRPr="00AC4827">
        <w:rPr>
          <w:color w:val="000000"/>
        </w:rPr>
        <w:t>Таежный</w:t>
      </w:r>
      <w:proofErr w:type="gramEnd"/>
      <w:r w:rsidRPr="00AC4827">
        <w:rPr>
          <w:color w:val="000000"/>
        </w:rPr>
        <w:t xml:space="preserve">  «О предоставлении разрешения  на отклонение от предельных </w:t>
      </w:r>
      <w:r w:rsidRPr="00AC4827">
        <w:rPr>
          <w:color w:val="000000"/>
        </w:rPr>
        <w:lastRenderedPageBreak/>
        <w:t>параметров  разрешенного строительства, реконструкции объекта капитального строительства»</w:t>
      </w:r>
      <w:r>
        <w:t xml:space="preserve"> считать состоявшимися.</w:t>
      </w:r>
    </w:p>
    <w:p w:rsidR="003735EF" w:rsidRDefault="003735EF" w:rsidP="003735EF">
      <w:pPr>
        <w:spacing w:line="360" w:lineRule="auto"/>
        <w:ind w:left="360"/>
        <w:jc w:val="both"/>
        <w:rPr>
          <w:b/>
        </w:rPr>
      </w:pPr>
    </w:p>
    <w:p w:rsidR="003735EF" w:rsidRDefault="003735EF" w:rsidP="003735EF">
      <w:pPr>
        <w:spacing w:line="360" w:lineRule="auto"/>
        <w:ind w:left="360"/>
        <w:jc w:val="both"/>
        <w:rPr>
          <w:b/>
        </w:rPr>
      </w:pPr>
    </w:p>
    <w:p w:rsidR="0082403A" w:rsidRDefault="0082403A" w:rsidP="005F5A91">
      <w:pPr>
        <w:jc w:val="center"/>
      </w:pPr>
    </w:p>
    <w:sectPr w:rsidR="0082403A" w:rsidSect="006777FA">
      <w:foot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38" w:rsidRDefault="00274438" w:rsidP="000921C4">
      <w:r>
        <w:separator/>
      </w:r>
    </w:p>
  </w:endnote>
  <w:endnote w:type="continuationSeparator" w:id="0">
    <w:p w:rsidR="00274438" w:rsidRDefault="00274438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89">
          <w:rPr>
            <w:noProof/>
          </w:rPr>
          <w:t>1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38" w:rsidRDefault="00274438" w:rsidP="000921C4">
      <w:r>
        <w:separator/>
      </w:r>
    </w:p>
  </w:footnote>
  <w:footnote w:type="continuationSeparator" w:id="0">
    <w:p w:rsidR="00274438" w:rsidRDefault="00274438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140BE8"/>
    <w:rsid w:val="00144E8A"/>
    <w:rsid w:val="001A4F23"/>
    <w:rsid w:val="00217ED2"/>
    <w:rsid w:val="002268FC"/>
    <w:rsid w:val="00263441"/>
    <w:rsid w:val="00274438"/>
    <w:rsid w:val="002A0C89"/>
    <w:rsid w:val="002B3F32"/>
    <w:rsid w:val="002F346C"/>
    <w:rsid w:val="002F36AB"/>
    <w:rsid w:val="00322AB0"/>
    <w:rsid w:val="003735EF"/>
    <w:rsid w:val="003A6373"/>
    <w:rsid w:val="004C62A6"/>
    <w:rsid w:val="004E0E00"/>
    <w:rsid w:val="00574816"/>
    <w:rsid w:val="005C62FE"/>
    <w:rsid w:val="005F5A91"/>
    <w:rsid w:val="00642090"/>
    <w:rsid w:val="00671627"/>
    <w:rsid w:val="00673DC0"/>
    <w:rsid w:val="006777FA"/>
    <w:rsid w:val="00686C47"/>
    <w:rsid w:val="0073338D"/>
    <w:rsid w:val="007F47F0"/>
    <w:rsid w:val="008144F6"/>
    <w:rsid w:val="0082403A"/>
    <w:rsid w:val="00904299"/>
    <w:rsid w:val="00905B37"/>
    <w:rsid w:val="00906A8C"/>
    <w:rsid w:val="00915C07"/>
    <w:rsid w:val="00954932"/>
    <w:rsid w:val="00994185"/>
    <w:rsid w:val="00A93D7C"/>
    <w:rsid w:val="00AF12CA"/>
    <w:rsid w:val="00AF2F21"/>
    <w:rsid w:val="00B22DF1"/>
    <w:rsid w:val="00B81BB2"/>
    <w:rsid w:val="00BC0393"/>
    <w:rsid w:val="00BF0A89"/>
    <w:rsid w:val="00C7227C"/>
    <w:rsid w:val="00C92E47"/>
    <w:rsid w:val="00CA644C"/>
    <w:rsid w:val="00CD40C4"/>
    <w:rsid w:val="00D40B19"/>
    <w:rsid w:val="00D71154"/>
    <w:rsid w:val="00D751EA"/>
    <w:rsid w:val="00DA542C"/>
    <w:rsid w:val="00DA5C93"/>
    <w:rsid w:val="00E01795"/>
    <w:rsid w:val="00E62F41"/>
    <w:rsid w:val="00E65CEF"/>
    <w:rsid w:val="00E7405F"/>
    <w:rsid w:val="00E82F2B"/>
    <w:rsid w:val="00EB12C5"/>
    <w:rsid w:val="00EB3121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28</cp:revision>
  <cp:lastPrinted>2025-04-09T05:16:00Z</cp:lastPrinted>
  <dcterms:created xsi:type="dcterms:W3CDTF">2024-03-01T03:37:00Z</dcterms:created>
  <dcterms:modified xsi:type="dcterms:W3CDTF">2025-04-15T05:43:00Z</dcterms:modified>
</cp:coreProperties>
</file>