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F2" w:rsidRDefault="00E73BF2" w:rsidP="00E73BF2">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Ханты - Мансийский автономный округ-Югра</w:t>
      </w:r>
    </w:p>
    <w:p w:rsidR="00E73BF2" w:rsidRDefault="00E73BF2" w:rsidP="00E73BF2">
      <w:pPr>
        <w:pStyle w:val="title"/>
        <w:spacing w:before="0" w:beforeAutospacing="0" w:after="0" w:afterAutospacing="0" w:line="368" w:lineRule="atLeast"/>
        <w:ind w:firstLine="567"/>
        <w:jc w:val="center"/>
        <w:rPr>
          <w:rFonts w:ascii="Arial" w:hAnsi="Arial" w:cs="Arial"/>
          <w:b/>
          <w:bCs/>
          <w:color w:val="000000"/>
          <w:sz w:val="32"/>
          <w:szCs w:val="32"/>
        </w:rPr>
      </w:pPr>
      <w:r>
        <w:rPr>
          <w:rFonts w:ascii="Arial" w:hAnsi="Arial" w:cs="Arial"/>
          <w:b/>
          <w:bCs/>
          <w:color w:val="000000"/>
          <w:sz w:val="32"/>
          <w:szCs w:val="32"/>
        </w:rPr>
        <w:t>Советский район</w:t>
      </w:r>
    </w:p>
    <w:p w:rsidR="00E73BF2" w:rsidRDefault="00E73BF2" w:rsidP="00E73BF2">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СОВЕТ ДЕПУТАТОВ</w:t>
      </w:r>
    </w:p>
    <w:p w:rsidR="00E73BF2" w:rsidRDefault="00E73BF2" w:rsidP="00E73BF2">
      <w:pPr>
        <w:pStyle w:val="title"/>
        <w:spacing w:before="0" w:beforeAutospacing="0" w:after="0" w:afterAutospacing="0" w:line="368" w:lineRule="atLeast"/>
        <w:ind w:firstLine="567"/>
        <w:jc w:val="center"/>
        <w:rPr>
          <w:rFonts w:ascii="Arial" w:hAnsi="Arial" w:cs="Arial"/>
          <w:b/>
          <w:bCs/>
          <w:color w:val="000000"/>
          <w:sz w:val="32"/>
          <w:szCs w:val="32"/>
        </w:rPr>
      </w:pPr>
      <w:r>
        <w:rPr>
          <w:rFonts w:ascii="Arial" w:hAnsi="Arial" w:cs="Arial"/>
          <w:b/>
          <w:bCs/>
          <w:color w:val="000000"/>
          <w:sz w:val="32"/>
          <w:szCs w:val="32"/>
        </w:rPr>
        <w:t>ГОРОДСКОГО ПОСЕЛЕНИЯ ТАЁЖНЫЙ</w:t>
      </w:r>
    </w:p>
    <w:p w:rsidR="00E73BF2" w:rsidRDefault="00E73BF2" w:rsidP="00E73BF2">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b/>
          <w:bCs/>
          <w:color w:val="000000"/>
          <w:sz w:val="32"/>
          <w:szCs w:val="32"/>
        </w:rPr>
        <w:t>Р Е Ш Е Н И Е</w:t>
      </w:r>
    </w:p>
    <w:p w:rsidR="00E73BF2" w:rsidRDefault="00E73BF2" w:rsidP="00E73BF2">
      <w:pPr>
        <w:pStyle w:val="a3"/>
        <w:spacing w:before="0" w:beforeAutospacing="0" w:after="0" w:afterAutospacing="0" w:line="368" w:lineRule="atLeast"/>
        <w:ind w:firstLine="567"/>
        <w:jc w:val="center"/>
        <w:rPr>
          <w:rFonts w:ascii="Arial" w:hAnsi="Arial" w:cs="Arial"/>
          <w:color w:val="000000"/>
          <w:sz w:val="32"/>
          <w:szCs w:val="32"/>
        </w:rPr>
      </w:pPr>
      <w:r>
        <w:rPr>
          <w:rFonts w:ascii="Arial" w:hAnsi="Arial" w:cs="Arial"/>
          <w:color w:val="000000"/>
          <w:sz w:val="32"/>
          <w:szCs w:val="32"/>
        </w:rPr>
        <w:t> </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30 сентября 2021 года № 147</w:t>
      </w:r>
    </w:p>
    <w:p w:rsidR="00E73BF2" w:rsidRDefault="00E73BF2" w:rsidP="00E73BF2">
      <w:pPr>
        <w:pStyle w:val="a3"/>
        <w:spacing w:before="0" w:beforeAutospacing="0" w:after="0" w:afterAutospacing="0" w:line="276" w:lineRule="atLeast"/>
        <w:ind w:firstLine="567"/>
        <w:jc w:val="center"/>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положения о муниципальном жилищном контроле</w:t>
      </w:r>
    </w:p>
    <w:p w:rsidR="00E73BF2" w:rsidRDefault="00E73BF2" w:rsidP="00E73BF2">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(С изменениями, внесенными решением Совета депутатов от </w:t>
      </w:r>
      <w:hyperlink r:id="rId5" w:tgtFrame="_blank" w:history="1">
        <w:r>
          <w:rPr>
            <w:rStyle w:val="hyperlink"/>
            <w:rFonts w:ascii="Arial" w:hAnsi="Arial" w:cs="Arial"/>
            <w:color w:val="0000FF"/>
          </w:rPr>
          <w:t>21.04.2022 № 182</w:t>
        </w:r>
      </w:hyperlink>
      <w:r>
        <w:rPr>
          <w:rFonts w:ascii="Arial" w:hAnsi="Arial" w:cs="Arial"/>
          <w:color w:val="000000"/>
        </w:rPr>
        <w:t>)</w:t>
      </w:r>
    </w:p>
    <w:p w:rsidR="00E73BF2" w:rsidRDefault="00E73BF2" w:rsidP="00E73BF2">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(С изменениями, внесенными решением Совета депутатов от </w:t>
      </w:r>
      <w:hyperlink r:id="rId6" w:tgtFrame="_blank" w:history="1">
        <w:r>
          <w:rPr>
            <w:rStyle w:val="hyperlink"/>
            <w:rFonts w:ascii="Arial" w:hAnsi="Arial" w:cs="Arial"/>
            <w:color w:val="0000FF"/>
          </w:rPr>
          <w:t>21.06.2023 № 232</w:t>
        </w:r>
      </w:hyperlink>
      <w:r>
        <w:rPr>
          <w:rFonts w:ascii="Arial" w:hAnsi="Arial" w:cs="Arial"/>
          <w:color w:val="000000"/>
        </w:rPr>
        <w:t>)</w:t>
      </w:r>
    </w:p>
    <w:p w:rsidR="00E73BF2" w:rsidRDefault="00E73BF2" w:rsidP="00E73BF2">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right="283" w:firstLine="567"/>
        <w:jc w:val="right"/>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Федеральными законами от 06.10.2003</w:t>
      </w:r>
      <w:hyperlink r:id="rId7" w:tgtFrame="_blank" w:history="1">
        <w:r>
          <w:rPr>
            <w:rStyle w:val="hyperlink"/>
            <w:rFonts w:ascii="Arial" w:hAnsi="Arial" w:cs="Arial"/>
            <w:color w:val="0000FF"/>
          </w:rPr>
          <w:t> № 131-ФЗ «Об общих</w:t>
        </w:r>
      </w:hyperlink>
      <w:r>
        <w:rPr>
          <w:rFonts w:ascii="Arial" w:hAnsi="Arial" w:cs="Arial"/>
          <w:color w:val="000000"/>
        </w:rPr>
        <w:t> принципах организации местного самоуправления в Российской Федерации», от 31.07.2020 </w:t>
      </w:r>
      <w:hyperlink r:id="rId8" w:tgtFrame="_blank" w:history="1">
        <w:r>
          <w:rPr>
            <w:rStyle w:val="hyperlink"/>
            <w:rFonts w:ascii="Arial" w:hAnsi="Arial" w:cs="Arial"/>
            <w:color w:val="0000FF"/>
          </w:rPr>
          <w:t>№ 248-ФЗ «О государственном контроле</w:t>
        </w:r>
      </w:hyperlink>
      <w:r>
        <w:rPr>
          <w:rFonts w:ascii="Arial" w:hAnsi="Arial" w:cs="Arial"/>
          <w:color w:val="000000"/>
        </w:rPr>
        <w:t> (надзоре) и муниципальном контроле в Российской Федерации», руководствуясь </w:t>
      </w:r>
      <w:hyperlink r:id="rId9" w:tgtFrame="_blank" w:history="1">
        <w:r>
          <w:rPr>
            <w:rStyle w:val="hyperlink"/>
            <w:rFonts w:ascii="Arial" w:hAnsi="Arial" w:cs="Arial"/>
            <w:color w:val="0000FF"/>
          </w:rPr>
          <w:t>Уставом</w:t>
        </w:r>
      </w:hyperlink>
      <w:r>
        <w:rPr>
          <w:rFonts w:ascii="Arial" w:hAnsi="Arial" w:cs="Arial"/>
          <w:color w:val="000000"/>
        </w:rPr>
        <w:t> городского поселения Таёжный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СОВЕТ ДЕПУТАТОВ ГОРОДСКОГО ПОСЕЛЕНИЯ ТАЁЖНЫЙ РЕШИЛ:</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1. Утвердить Положение о муниципальном жилищном контроле (приложение).</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2. Опубликовать настоящее решение в порядке установленном </w:t>
      </w:r>
      <w:hyperlink r:id="rId10" w:tgtFrame="_blank" w:history="1">
        <w:r>
          <w:rPr>
            <w:rStyle w:val="hyperlink"/>
            <w:rFonts w:ascii="Arial" w:hAnsi="Arial" w:cs="Arial"/>
            <w:color w:val="0000FF"/>
          </w:rPr>
          <w:t>Уставом</w:t>
        </w:r>
      </w:hyperlink>
      <w:r>
        <w:rPr>
          <w:rFonts w:ascii="Arial" w:hAnsi="Arial" w:cs="Arial"/>
          <w:color w:val="000000"/>
        </w:rPr>
        <w:t> городского поселения Таёжный.</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3. Решение вступает в силу с 01.01.2022.</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Председатель Совета депутатов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городского поселения Таёжный И.Н.Вахмина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Глава городского поселения Таёжный А.Р.Аширов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right"/>
        <w:rPr>
          <w:rFonts w:ascii="Arial" w:hAnsi="Arial" w:cs="Arial"/>
          <w:color w:val="000000"/>
        </w:rPr>
      </w:pPr>
      <w:r>
        <w:rPr>
          <w:rFonts w:ascii="Arial" w:hAnsi="Arial" w:cs="Arial"/>
          <w:color w:val="000000"/>
        </w:rPr>
        <w:br w:type="textWrapping" w:clear="all"/>
        <w:t>Приложение</w:t>
      </w:r>
    </w:p>
    <w:p w:rsidR="00E73BF2" w:rsidRDefault="00E73BF2" w:rsidP="00E73BF2">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к решению Совета депутатов</w:t>
      </w:r>
    </w:p>
    <w:p w:rsidR="00E73BF2" w:rsidRDefault="00E73BF2" w:rsidP="00E73BF2">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городского поселения Таёжный</w:t>
      </w:r>
    </w:p>
    <w:p w:rsidR="00E73BF2" w:rsidRDefault="00E73BF2" w:rsidP="00E73BF2">
      <w:pPr>
        <w:pStyle w:val="a3"/>
        <w:shd w:val="clear" w:color="auto" w:fill="FFFFFF"/>
        <w:spacing w:before="0" w:beforeAutospacing="0" w:after="0" w:afterAutospacing="0"/>
        <w:ind w:left="5760" w:hanging="10"/>
        <w:jc w:val="right"/>
        <w:rPr>
          <w:rFonts w:ascii="Arial" w:hAnsi="Arial" w:cs="Arial"/>
          <w:color w:val="000000"/>
        </w:rPr>
      </w:pPr>
      <w:r>
        <w:rPr>
          <w:rFonts w:ascii="Arial" w:hAnsi="Arial" w:cs="Arial"/>
          <w:color w:val="000000"/>
        </w:rPr>
        <w:t>от 30.09.2021 № 147</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Положение о муниципальном жилищном контроле</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26"/>
          <w:szCs w:val="26"/>
        </w:rPr>
        <w:t>I. Общие положения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городского поселения Таёжный.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Муниципальный жилищный контроль (далее-муниципальный контроль) на территории городского поселения Таёжный осуществляется администрацией городского поселения Таёжный (далее-контрольный орган).</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Должностным лицом, уполномоченным на осуществление муниципального контроля (далее-должностные лица) является главный специалист по жилищным отношениям сектора по правовым и имущественным отношениям администрации городского поселения Таёжный.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31.07.2021 </w:t>
      </w:r>
      <w:hyperlink r:id="rId11" w:tgtFrame="_blank" w:history="1">
        <w:r>
          <w:rPr>
            <w:rStyle w:val="hyperlink"/>
            <w:rFonts w:ascii="Arial" w:hAnsi="Arial" w:cs="Arial"/>
            <w:color w:val="0000FF"/>
          </w:rPr>
          <w:t>№ 248-ФЗ «О государственном контроле</w:t>
        </w:r>
      </w:hyperlink>
      <w:r>
        <w:rPr>
          <w:rFonts w:ascii="Arial" w:hAnsi="Arial" w:cs="Arial"/>
          <w:color w:val="000000"/>
        </w:rPr>
        <w:t> (надзоре) и муниципальном контроле в Российской Федерации» (далее-Федеральный закон № 248-ФЗ), а также </w:t>
      </w:r>
      <w:hyperlink r:id="rId12" w:tgtFrame="_blank" w:history="1">
        <w:r>
          <w:rPr>
            <w:rStyle w:val="hyperlink"/>
            <w:rFonts w:ascii="Arial" w:hAnsi="Arial" w:cs="Arial"/>
            <w:color w:val="0000FF"/>
          </w:rPr>
          <w:t>Жилищным кодексом</w:t>
        </w:r>
      </w:hyperlink>
      <w:r>
        <w:rPr>
          <w:rFonts w:ascii="Arial" w:hAnsi="Arial" w:cs="Arial"/>
          <w:color w:val="000000"/>
        </w:rPr>
        <w:t> Российской Федерации.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(Абзац первый пункта 5 изменен решением Совета депутатов от </w:t>
      </w:r>
      <w:hyperlink r:id="rId13" w:tgtFrame="_blank" w:history="1">
        <w:r>
          <w:rPr>
            <w:rStyle w:val="hyperlink"/>
            <w:rFonts w:ascii="Arial" w:hAnsi="Arial" w:cs="Arial"/>
            <w:color w:val="0000FF"/>
          </w:rPr>
          <w:t>21.06.2023 № 232</w:t>
        </w:r>
      </w:hyperlink>
      <w:r>
        <w:rPr>
          <w:rFonts w:ascii="Arial" w:hAnsi="Arial" w:cs="Arial"/>
          <w:color w:val="000000"/>
        </w:rPr>
        <w:t>)</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требований к формированию фондов капитального ремонта;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 требований к обеспечению доступности для инвалидов помещений в многоквартирных домах;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 требований к предоставлению жилых помещений в наемных домах социального использования.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(Пункт 5 дополнен подпунктом 12 решением Совета депутатов от </w:t>
      </w:r>
      <w:hyperlink r:id="rId14" w:tgtFrame="_blank" w:history="1">
        <w:r>
          <w:rPr>
            <w:rStyle w:val="hyperlink"/>
            <w:rFonts w:ascii="Arial" w:hAnsi="Arial" w:cs="Arial"/>
            <w:color w:val="0000FF"/>
          </w:rPr>
          <w:t>21.06.2023 № 232</w:t>
        </w:r>
      </w:hyperlink>
      <w:r>
        <w:rPr>
          <w:rFonts w:ascii="Arial" w:hAnsi="Arial" w:cs="Arial"/>
          <w:color w:val="000000"/>
        </w:rPr>
        <w:t>)</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Объектами муниципального контроля являются: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 Контрольный орган обеспечивает учет объектов контроля в рамках осуществления муниципального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13. Оценка результативности и эффективности муниципального контроля осуществляется в соответствии со статьей 30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14. Досудебный порядок подачи жалоб, установленный главой 9 Федерального закона № 248-ФЗ, при осуществлении муниципального контроля не применяется.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15. Ключевые показатели муниципального жилищного контроля и их целевые значения, индикативные показатели утверждаются решением Совета депутатов городского поселения Таёжный.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II. Управление рисками причинения вреда (ущерба) охраняемым законом ценностям при осуществлении муниципального жилищного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16. Муниципальный контроль</w:t>
      </w:r>
      <w:r>
        <w:rPr>
          <w:rFonts w:ascii="Arial" w:hAnsi="Arial" w:cs="Arial"/>
          <w:i/>
          <w:iCs/>
          <w:color w:val="000000"/>
        </w:rPr>
        <w:t> </w:t>
      </w:r>
      <w:r>
        <w:rPr>
          <w:rFonts w:ascii="Arial" w:hAnsi="Arial" w:cs="Arial"/>
          <w:color w:val="000000"/>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Pr>
          <w:rFonts w:ascii="Arial" w:hAnsi="Arial" w:cs="Arial"/>
          <w:i/>
          <w:iCs/>
          <w:color w:val="000000"/>
        </w:rPr>
        <w:t> </w:t>
      </w:r>
      <w:r>
        <w:rPr>
          <w:rFonts w:ascii="Arial" w:hAnsi="Arial" w:cs="Arial"/>
          <w:color w:val="000000"/>
        </w:rPr>
        <w:t>среднего, умеренного и низкого риска</w:t>
      </w:r>
      <w:r>
        <w:rPr>
          <w:rFonts w:ascii="Arial" w:hAnsi="Arial" w:cs="Arial"/>
          <w:color w:val="00B050"/>
        </w:rPr>
        <w:t> </w:t>
      </w:r>
      <w:r>
        <w:rPr>
          <w:rFonts w:ascii="Arial" w:hAnsi="Arial" w:cs="Arial"/>
          <w:color w:val="000000"/>
        </w:rPr>
        <w:t>в соответствии с Федеральным законом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1 к Положению.</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19. Отнесение объектов муниципального контроля к категориям риска осуществляется распоряжением контрольного органа (далее-распоряжение).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контроля к категориям риска.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22. По запросу контролируемого лица контролирующий орган</w:t>
      </w:r>
      <w:r>
        <w:rPr>
          <w:rFonts w:ascii="Arial" w:hAnsi="Arial" w:cs="Arial"/>
          <w:color w:val="00B050"/>
        </w:rPr>
        <w:t> </w:t>
      </w:r>
      <w:r>
        <w:rPr>
          <w:rFonts w:ascii="Arial" w:hAnsi="Arial" w:cs="Arial"/>
          <w:color w:val="000000"/>
        </w:rPr>
        <w:t xml:space="preserve">предоставляет информацию о присвоенной их объектам контроля категории риска, а также </w:t>
      </w:r>
      <w:r>
        <w:rPr>
          <w:rFonts w:ascii="Arial" w:hAnsi="Arial" w:cs="Arial"/>
          <w:color w:val="000000"/>
        </w:rPr>
        <w:lastRenderedPageBreak/>
        <w:t>сведения, на основании которых принято решение об отнесении к категории риска их объектов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23. В целях оценки риска причинения вреда (ущерба) при принятии решения о проведении и выборе вида внепланового контрольного (надзорного)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24. Перечень индикаторов риска нарушения обязательных требований вида муниципального контроля и порядок их выявления утверждается решением Совета депутатов городского поселения Таёжный,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III. Профилактика рисков причинения вреда (ущерба) охраняемым законом ценностям</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color w:val="000000"/>
          <w:sz w:val="28"/>
          <w:szCs w:val="28"/>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(далее-Программа профилактики), утверждаемой муниципальным правовым актом администрации городского поселения Таёжный.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Утвержденная Программа профилактики размещается на официальном сайте контрольного органа в сети «Интернет».</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Контрольный орган может проводить профилактические мероприятия, не предусмотренные Программой профилактики.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27. При осуществлении муниципального контроля могут проводиться следующие виды профилактических мероприятий: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информирование;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консультирование;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объявление предостережения;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профилактический визит.</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28.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29. Консультирование (разъяснение по вопросам, связанным с организацией и осуществлением муниципального контроля) осуществляется должностным </w:t>
      </w:r>
      <w:r>
        <w:rPr>
          <w:rFonts w:ascii="Arial" w:hAnsi="Arial" w:cs="Arial"/>
          <w:color w:val="000000"/>
        </w:rPr>
        <w:lastRenderedPageBreak/>
        <w:t>лицом контрольного органа, по обращениям контролируемых лиц и их представителей без взимания платы.</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31. Консультирование осуществляется по следующим вопросам: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компетенция контрольного органа;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организация и осуществление муниципального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порядок осуществления профилактических, контрольных (надзорных) мероприятий, установленных Положением;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hyperlink r:id="rId15" w:tgtFrame="_blank" w:history="1">
        <w:r>
          <w:rPr>
            <w:rStyle w:val="hyperlink"/>
            <w:rFonts w:ascii="Arial" w:hAnsi="Arial" w:cs="Arial"/>
            <w:color w:val="0000FF"/>
          </w:rPr>
          <w:t>№ 59-ФЗ «О порядке</w:t>
        </w:r>
      </w:hyperlink>
      <w:r>
        <w:rPr>
          <w:rFonts w:ascii="Arial" w:hAnsi="Arial" w:cs="Arial"/>
          <w:color w:val="000000"/>
        </w:rPr>
        <w:t> рассмотрения обращений граждан Российской Федерации».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(далее-предостережение) и предлагает принять меры по обеспечению соблюдения обязательных требований</w:t>
      </w:r>
      <w:r>
        <w:rPr>
          <w:rFonts w:ascii="Arial" w:hAnsi="Arial" w:cs="Arial"/>
          <w:color w:val="FF0000"/>
        </w:rPr>
        <w:t>.</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37.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40.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43. В ходе профилактического визита должностным лицом контрольного органа может осуществляться консультирование контролируемого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дата, время и место составления уведомления;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наименование контрольного органа;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полное наименование контролируемого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фамилии, имена, отчества (при наличии) должностного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дата, время и место обязательного профилактического визита;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подпись должностного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IV. Порядок организации муниципального жилищного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sz w:val="28"/>
          <w:szCs w:val="28"/>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20 </w:t>
      </w:r>
      <w:hyperlink r:id="rId16" w:tgtFrame="_blank" w:history="1">
        <w:r>
          <w:rPr>
            <w:rStyle w:val="hyperlink"/>
            <w:rFonts w:ascii="Arial" w:hAnsi="Arial" w:cs="Arial"/>
            <w:color w:val="0000FF"/>
          </w:rPr>
          <w:t>Жилищного кодекса</w:t>
        </w:r>
      </w:hyperlink>
      <w:r>
        <w:rPr>
          <w:rFonts w:ascii="Arial" w:hAnsi="Arial" w:cs="Arial"/>
          <w:color w:val="000000"/>
        </w:rPr>
        <w:t> Российской Федерации.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54. Для проведения контрольного (надзорного) мероприятия принимается решение контрольного органа, подписанное руководителем контрольного органа (далее-решение о проведении контрольного (надзорного) мероприятия), в котором указываются: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дата, время и место выпуска решения;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кем принято решение;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основание проведения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вид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 объект контроля, в отношении которого проводится контрольное (надзорное) мероприятие;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 вид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 перечень контрольных (надзорных) действий, совершаемых в рамках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 предмет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12) проверочные листы, если их применение является обязательным;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13) дата проведения контрольного (надзорного) мероприятия, в том числе срок непосредственного взаимодействия с контролируемым лицом;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14) перечень документов, предоставление которых гражданином, организацией необходимо для оценки соблюдения обязательных требований;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15) иные сведения, если это предусмотрено Положением.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инспекционный визит;</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документарная проверка;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выездная проверка;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рейдовый 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56. Без взаимодействия с контролируемым лицом проводятся следующие контрольные (надзорные) мероприятия (далее-контрольные (надзорные) мероприятия без взаимодействия):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наблюдение за соблюдением обязательных требований (мониторинг безопасности);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выездное обследование.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57.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статьей 61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58.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мероприятий-не менее одного контрольного (надзорного) мероприятия в шесть лет и не более одного контрольного (надзорного) мероприятия в три года.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60.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61.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V. Контрольные (надзорные)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64. В ходе инспекционного визита могут совершаться следующие контрольные (надзорные) действия: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опрос;</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получение письменных объяснений;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инструментальное обследование;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65. Инспекционный визит проводится без предварительного уведомления контролируемого лица и собственника производственного объекта.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67. Контролируемые лица или их представители обязаны обеспечить беспрепятственный доступ должностного лица в здания, сооружения, помещения.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D0D0D"/>
        </w:rPr>
        <w:t>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rFonts w:ascii="Arial" w:hAnsi="Arial" w:cs="Arial"/>
          <w:color w:val="000000"/>
        </w:rPr>
        <w:t>пунктами 3</w:t>
      </w:r>
      <w:r>
        <w:rPr>
          <w:rFonts w:ascii="Arial" w:hAnsi="Arial" w:cs="Arial"/>
          <w:color w:val="0D0D0D"/>
        </w:rPr>
        <w:t> - </w:t>
      </w:r>
      <w:r>
        <w:rPr>
          <w:rFonts w:ascii="Arial" w:hAnsi="Arial" w:cs="Arial"/>
          <w:color w:val="000000"/>
        </w:rPr>
        <w:t>6 части 1 статьи 57</w:t>
      </w:r>
      <w:r>
        <w:rPr>
          <w:rFonts w:ascii="Arial" w:hAnsi="Arial" w:cs="Arial"/>
          <w:color w:val="0D0D0D"/>
        </w:rPr>
        <w:t> и </w:t>
      </w:r>
      <w:r>
        <w:rPr>
          <w:rFonts w:ascii="Arial" w:hAnsi="Arial" w:cs="Arial"/>
          <w:color w:val="000000"/>
        </w:rPr>
        <w:t>частью 12 статьи 66</w:t>
      </w:r>
      <w:r>
        <w:rPr>
          <w:rFonts w:ascii="Arial" w:hAnsi="Arial" w:cs="Arial"/>
          <w:color w:val="0D0D0D"/>
        </w:rPr>
        <w:t>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69.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71. В ходе документарной проверки могут совершаться следующие контрольные (надзорные) действия: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получение письменных объяснений;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истребование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экспертиза.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76. Внеплановая документарная проверка проводится без согласования с органами прокуратуры.</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79. Выездная проверка проводится в случае, если не представляется возможным: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83. В ходе выездной проверки могут совершаться следующие контрольные (надзорные) действия: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досмотр;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опрос;</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получение письменных объяснений;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истребование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инструментальное обследование;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 экспертиза.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85. В ходе рейдового осмотра могут совершаться следующие контрольные (надзорные) действия: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досмотр;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опрос;</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получение письменных объяснений;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истребование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инструментальное обследование;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7) экспертиза.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87. При проведении рейдового осмотра должностные лица вправе взаимодействовать с находящимися на производственных объектах лицами.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90.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91. 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94.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96.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осмотр;</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инструментальное обследование (с применением видеозаписи);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испытание;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экспертиза.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97. Выездное обследование проводится без информирования контролируемого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98.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100. Контролируемые лица, вправе в соответствии с частью 8 статьи 31 Федерального закона № 248-ФЗ, представить в контрольный орган</w:t>
      </w:r>
      <w:r>
        <w:rPr>
          <w:rFonts w:ascii="Arial" w:hAnsi="Arial" w:cs="Arial"/>
          <w:i/>
          <w:iCs/>
          <w:color w:val="000000"/>
        </w:rPr>
        <w:t> </w:t>
      </w:r>
      <w:r>
        <w:rPr>
          <w:rFonts w:ascii="Arial" w:hAnsi="Arial" w:cs="Arial"/>
          <w:color w:val="000000"/>
        </w:rPr>
        <w:t>информацию о невозможности присутствия при проведении контрольного (надзорного) мероприятия в случаях:</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нахождения на стационарном лечении в медицинском учреждении;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нахождения за пределами Российской Федерации;</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3) административного ареста;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5) признания недееспособным или ограниченно дееспособным решением суда, вступившим в законную силу.</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101. Информация о невозможности присутствия при проведении контрольного (надзорного) мероприятия должна содержать:</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 описание обстоятельств, препятствующих присутствию при проведении контрольных (надзорных) мероприятий и их продолжительность;</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2) срок, необходимый для устранения обстоятельств, препятствующих присутствию при проведении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103. Результаты контрольного (надзорного) мероприятия оформляются в порядке, установленном статьей 87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104. Оформление акта производится на месте проведения контрольного (надзорного) мероприятия в день окончания проведения такого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105. Контролируемое лицо или его представитель знакомится с содержанием акта на месте проведения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107.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108. 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109.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111.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112.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113.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114. Исполнение решений контрольного органа осуществляется в порядке, установленном статьями 92-95 Федерального закона № 248-ФЗ.</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115.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73BF2" w:rsidRDefault="00E73BF2" w:rsidP="00E73BF2">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line="276" w:lineRule="atLeast"/>
        <w:ind w:right="283" w:firstLine="567"/>
        <w:jc w:val="center"/>
        <w:rPr>
          <w:rFonts w:ascii="Arial" w:hAnsi="Arial" w:cs="Arial"/>
          <w:color w:val="000000"/>
        </w:rPr>
      </w:pPr>
      <w:r>
        <w:rPr>
          <w:rFonts w:ascii="Arial" w:hAnsi="Arial" w:cs="Arial"/>
          <w:color w:val="000000"/>
        </w:rPr>
        <w:t>(Положение дополнено разделом VI решением Совета депутатов от </w:t>
      </w:r>
      <w:hyperlink r:id="rId17" w:tgtFrame="_blank" w:history="1">
        <w:r>
          <w:rPr>
            <w:rStyle w:val="hyperlink"/>
            <w:rFonts w:ascii="Arial" w:hAnsi="Arial" w:cs="Arial"/>
            <w:color w:val="0000FF"/>
          </w:rPr>
          <w:t>21.04.2022 № 182</w:t>
        </w:r>
      </w:hyperlink>
      <w:r>
        <w:rPr>
          <w:rFonts w:ascii="Arial" w:hAnsi="Arial" w:cs="Arial"/>
          <w:color w:val="000000"/>
        </w:rPr>
        <w:t>)</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E73BF2" w:rsidRDefault="00E73BF2" w:rsidP="00E73BF2">
      <w:pPr>
        <w:pStyle w:val="a3"/>
        <w:shd w:val="clear" w:color="auto" w:fill="FFFFFF"/>
        <w:spacing w:before="0" w:beforeAutospacing="0" w:after="0" w:afterAutospacing="0" w:line="322" w:lineRule="atLeast"/>
        <w:ind w:firstLine="567"/>
        <w:jc w:val="center"/>
        <w:rPr>
          <w:rFonts w:ascii="Arial" w:hAnsi="Arial" w:cs="Arial"/>
          <w:color w:val="000000"/>
          <w:sz w:val="28"/>
          <w:szCs w:val="28"/>
        </w:rPr>
      </w:pPr>
      <w:r>
        <w:rPr>
          <w:rFonts w:ascii="Arial" w:hAnsi="Arial" w:cs="Arial"/>
          <w:b/>
          <w:bCs/>
          <w:color w:val="000000"/>
          <w:sz w:val="28"/>
          <w:szCs w:val="28"/>
        </w:rPr>
        <w:t>VI Оценка результативности и эффективности деятельности контрольного органа.</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 </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 Оценка результативности и эффективности деятельности контрольного органа осуществляется в соответствии со статьей 30 Федерального закона № 248-ФЗ на основе системы показателей результативности и эффективности, установленных пунктами 2, 3 настоящего раздела.</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2. Ключевые показатели муниципального контроля и их целевые значения:</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 доля устраненных нарушений обязательных требований из числа выявленных нарушений обязательных требований-70 %;</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2) доля выполнения программы профилактики рисков причинения вреда за отчетный период-100 %;</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lastRenderedPageBreak/>
        <w:t>3) доля решений, принятых по результатам контрольных мероприятий, отмененных судом, от общего количества решений-0 %.</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3. Индикативные показатели муниципального контроля:</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 количество внеплановых контрольных мероприятий, проведенных за отчётный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2) количество контрольных мероприятий с взаимодействием, проведенных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3) количество предостережений, объявленных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4) количество контрольных мероприятий, по результатам которых выявлены нарушения обязательных требований,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5) количество контрольных мероприятий, по итогам которых возбуждены дела об административных правонарушениях,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6) сумма административных штрафов, наложенных по результатам контрольных мероприятий,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7) количество направленных в органы прокуратуры заявлений о согласовании проведения контрольных мероприятий,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8)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9) общее количество учтенных объектов контроля на конец отчетного периода;</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10) количество учтенных контролируемых лиц на конец отчетного периода;</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11) количество учтенных контролируемых лиц, в отношении которых проведены контрольные мероприятия,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12) общее количество жалоб, поданных контролируемыми лицами в досудебном порядке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13) количество жалоб, в отношении которых контрольным органом был нарушен срок рассмотрения,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отчётный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15)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16)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73BF2" w:rsidRDefault="00E73BF2" w:rsidP="00E73BF2">
      <w:pPr>
        <w:pStyle w:val="a3"/>
        <w:shd w:val="clear" w:color="auto" w:fill="FFFFFF"/>
        <w:spacing w:before="0" w:beforeAutospacing="0" w:after="0" w:afterAutospacing="0" w:line="276" w:lineRule="atLeast"/>
        <w:ind w:firstLine="567"/>
        <w:jc w:val="both"/>
        <w:rPr>
          <w:rFonts w:ascii="Arial" w:hAnsi="Arial" w:cs="Arial"/>
          <w:color w:val="000000"/>
        </w:rPr>
      </w:pPr>
      <w:r>
        <w:rPr>
          <w:rFonts w:ascii="Arial" w:hAnsi="Arial" w:cs="Arial"/>
          <w:color w:val="000000"/>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73BF2" w:rsidRDefault="00E73BF2" w:rsidP="00E73BF2">
      <w:pPr>
        <w:pStyle w:val="a3"/>
        <w:spacing w:before="0" w:beforeAutospacing="0" w:after="0" w:afterAutospacing="0"/>
        <w:ind w:firstLine="709"/>
        <w:jc w:val="right"/>
        <w:rPr>
          <w:rFonts w:ascii="Arial" w:hAnsi="Arial" w:cs="Arial"/>
          <w:color w:val="000000"/>
        </w:rPr>
      </w:pPr>
      <w:r>
        <w:rPr>
          <w:rFonts w:ascii="Arial" w:hAnsi="Arial" w:cs="Arial"/>
          <w:color w:val="000000"/>
        </w:rPr>
        <w:br w:type="textWrapping" w:clear="all"/>
        <w:t>Приложение 1</w:t>
      </w:r>
    </w:p>
    <w:p w:rsidR="00E73BF2" w:rsidRDefault="00E73BF2" w:rsidP="00E73BF2">
      <w:pPr>
        <w:pStyle w:val="a3"/>
        <w:spacing w:before="0" w:beforeAutospacing="0" w:after="0" w:afterAutospacing="0"/>
        <w:ind w:firstLine="709"/>
        <w:jc w:val="right"/>
        <w:rPr>
          <w:rFonts w:ascii="Arial" w:hAnsi="Arial" w:cs="Arial"/>
          <w:color w:val="000000"/>
        </w:rPr>
      </w:pPr>
      <w:r>
        <w:rPr>
          <w:rFonts w:ascii="Arial" w:hAnsi="Arial" w:cs="Arial"/>
          <w:color w:val="000000"/>
        </w:rPr>
        <w:t>к Положению о муниципальном</w:t>
      </w:r>
    </w:p>
    <w:p w:rsidR="00E73BF2" w:rsidRDefault="00E73BF2" w:rsidP="00E73BF2">
      <w:pPr>
        <w:pStyle w:val="a3"/>
        <w:spacing w:before="0" w:beforeAutospacing="0" w:after="0" w:afterAutospacing="0"/>
        <w:ind w:firstLine="709"/>
        <w:jc w:val="right"/>
        <w:rPr>
          <w:rFonts w:ascii="Arial" w:hAnsi="Arial" w:cs="Arial"/>
          <w:color w:val="000000"/>
        </w:rPr>
      </w:pPr>
      <w:r>
        <w:rPr>
          <w:rFonts w:ascii="Arial" w:hAnsi="Arial" w:cs="Arial"/>
          <w:color w:val="000000"/>
        </w:rPr>
        <w:t>жилищном контроле</w:t>
      </w:r>
    </w:p>
    <w:p w:rsidR="00E73BF2" w:rsidRDefault="00E73BF2" w:rsidP="00E73BF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E73BF2" w:rsidRDefault="00E73BF2" w:rsidP="00E73BF2">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КРИТЕРИИ ОТНЕСЕНИЯ ОБЪЕКТОВ ВИДА МУНИЦИПАЛЬНОГО КОНТРОЛЯ К КАТЕГОРИЯМ РИСКА</w:t>
      </w:r>
    </w:p>
    <w:p w:rsidR="00E73BF2" w:rsidRDefault="00E73BF2" w:rsidP="00E73BF2">
      <w:pPr>
        <w:pStyle w:val="a3"/>
        <w:spacing w:before="0" w:beforeAutospacing="0" w:after="0" w:afterAutospacing="0"/>
        <w:ind w:firstLine="709"/>
        <w:jc w:val="center"/>
        <w:rPr>
          <w:rFonts w:ascii="Arial" w:hAnsi="Arial" w:cs="Arial"/>
          <w:color w:val="000000"/>
        </w:rPr>
      </w:pPr>
      <w:r>
        <w:rPr>
          <w:rFonts w:ascii="Arial" w:hAnsi="Arial" w:cs="Arial"/>
          <w:i/>
          <w:iCs/>
          <w:color w:val="000000"/>
          <w:sz w:val="30"/>
          <w:szCs w:val="30"/>
        </w:rPr>
        <w:t> </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2. К категории среднего риска относится:</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превышает-150.</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3. К категории умеренного риска относится:</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превышает-50.</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4. К категории низкого риска относятся:</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деятельность юридических лиц, индивидуальных предпринимателей, не предусмотренная пунктами 2 и 3 настоящего документа.</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w:t>
      </w:r>
      <w:hyperlink r:id="rId18" w:tgtFrame="_blank" w:history="1">
        <w:r>
          <w:rPr>
            <w:rStyle w:val="hyperlink"/>
            <w:rFonts w:ascii="Arial" w:hAnsi="Arial" w:cs="Arial"/>
            <w:color w:val="0000FF"/>
          </w:rPr>
          <w:t>Кодекса Российской Федерации об административных правонарушениях</w:t>
        </w:r>
      </w:hyperlink>
      <w:r>
        <w:rPr>
          <w:rFonts w:ascii="Arial" w:hAnsi="Arial" w:cs="Arial"/>
          <w:color w:val="000000"/>
        </w:rPr>
        <w:t>;</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w:t>
      </w:r>
      <w:hyperlink r:id="rId19" w:tgtFrame="_blank" w:history="1">
        <w:r>
          <w:rPr>
            <w:rStyle w:val="hyperlink"/>
            <w:rFonts w:ascii="Arial" w:hAnsi="Arial" w:cs="Arial"/>
            <w:color w:val="0000FF"/>
          </w:rPr>
          <w:t>Кодекса Российской Федерации об административных правонарушениях</w:t>
        </w:r>
      </w:hyperlink>
      <w:r>
        <w:rPr>
          <w:rFonts w:ascii="Arial" w:hAnsi="Arial" w:cs="Arial"/>
          <w:color w:val="000000"/>
        </w:rPr>
        <w:t>;</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в) невыполнением в срок законного предписания контрольного органа, ответственность за которое предусмотрена статьей 19.5 </w:t>
      </w:r>
      <w:hyperlink r:id="rId20" w:tgtFrame="_blank" w:history="1">
        <w:r>
          <w:rPr>
            <w:rStyle w:val="hyperlink"/>
            <w:rFonts w:ascii="Arial" w:hAnsi="Arial" w:cs="Arial"/>
            <w:color w:val="0000FF"/>
          </w:rPr>
          <w:t>Кодекса Российской Федерации об административных правонарушениях</w:t>
        </w:r>
      </w:hyperlink>
      <w:r>
        <w:rPr>
          <w:rFonts w:ascii="Arial" w:hAnsi="Arial" w:cs="Arial"/>
          <w:color w:val="000000"/>
        </w:rPr>
        <w:t>;</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г) иные (увеличение количества управляемых объектов до показателя установленной категории соответствующего риска).</w:t>
      </w:r>
    </w:p>
    <w:p w:rsidR="00E73BF2" w:rsidRDefault="00E73BF2" w:rsidP="00E73BF2">
      <w:pPr>
        <w:pStyle w:val="a3"/>
        <w:spacing w:before="0" w:beforeAutospacing="0" w:after="0" w:afterAutospacing="0"/>
        <w:ind w:firstLine="709"/>
        <w:jc w:val="both"/>
        <w:rPr>
          <w:rFonts w:ascii="Arial" w:hAnsi="Arial" w:cs="Arial"/>
          <w:color w:val="000000"/>
        </w:rPr>
      </w:pPr>
      <w:r>
        <w:rPr>
          <w:rFonts w:ascii="Arial" w:hAnsi="Arial" w:cs="Arial"/>
          <w:color w:val="000000"/>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w:t>
      </w:r>
    </w:p>
    <w:p w:rsidR="00E73BF2" w:rsidRDefault="00E73BF2" w:rsidP="00E73BF2">
      <w:pPr>
        <w:pStyle w:val="a3"/>
        <w:spacing w:before="0" w:beforeAutospacing="0" w:after="160" w:afterAutospacing="0"/>
        <w:ind w:firstLine="567"/>
        <w:jc w:val="both"/>
        <w:rPr>
          <w:rFonts w:ascii="Arial" w:hAnsi="Arial" w:cs="Arial"/>
          <w:color w:val="000000"/>
        </w:rPr>
      </w:pPr>
      <w:r>
        <w:rPr>
          <w:rFonts w:ascii="Arial" w:hAnsi="Arial" w:cs="Arial"/>
          <w:color w:val="000000"/>
        </w:rPr>
        <w:t> </w:t>
      </w:r>
    </w:p>
    <w:p w:rsidR="003708F7" w:rsidRDefault="003708F7">
      <w:bookmarkStart w:id="0" w:name="_GoBack"/>
      <w:bookmarkEnd w:id="0"/>
    </w:p>
    <w:sectPr w:rsidR="00370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52"/>
    <w:rsid w:val="003708F7"/>
    <w:rsid w:val="00375152"/>
    <w:rsid w:val="00E7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73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73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73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7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pravo-search.minjust.ru/bigs/showDocument.html?id=4111A435-A0B6-44E4-AAF9-67747DBA94F9" TargetMode="External"/><Relationship Id="rId18" Type="http://schemas.openxmlformats.org/officeDocument/2006/relationships/hyperlink" Target="https://pravo-search.minjust.ru/bigs/showDocument.html?id=C351FA7F-3731-467C-9A38-00CE2ECBE6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7892D120-18CA-422A-96BE-D49B2473B694"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370BA400-14C4-4CDB-8A8B-B11F2A1A2F55" TargetMode="External"/><Relationship Id="rId20" Type="http://schemas.openxmlformats.org/officeDocument/2006/relationships/hyperlink" Target="https://pravo-search.minjust.ru/bigs/showDocument.html?id=C351FA7F-3731-467C-9A38-00CE2ECBE619" TargetMode="External"/><Relationship Id="rId1" Type="http://schemas.openxmlformats.org/officeDocument/2006/relationships/styles" Target="styles.xml"/><Relationship Id="rId6" Type="http://schemas.openxmlformats.org/officeDocument/2006/relationships/hyperlink" Target="https://pravo-search.minjust.ru/bigs/showDocument.html?id=4111A435-A0B6-44E4-AAF9-67747DBA94F9" TargetMode="External"/><Relationship Id="rId11"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7892D120-18CA-422A-96BE-D49B2473B694" TargetMode="External"/><Relationship Id="rId15" Type="http://schemas.openxmlformats.org/officeDocument/2006/relationships/hyperlink" Target="https://pravo-search.minjust.ru/bigs/showDocument.html?id=4F48675C-2DC2-4B7B-8F43-C7D17AB9072F" TargetMode="External"/><Relationship Id="rId10" Type="http://schemas.openxmlformats.org/officeDocument/2006/relationships/hyperlink" Target="https://pravo-search.minjust.ru/bigs/showDocument.html?id=BE41A5D8-9B5A-4C09-8117-191B24AED41B" TargetMode="External"/><Relationship Id="rId19" Type="http://schemas.openxmlformats.org/officeDocument/2006/relationships/hyperlink" Target="https://pravo-search.minjust.ru/bigs/showDocument.html?id=C351FA7F-3731-467C-9A38-00CE2ECBE61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E41A5D8-9B5A-4C09-8117-191B24AED41B" TargetMode="External"/><Relationship Id="rId14" Type="http://schemas.openxmlformats.org/officeDocument/2006/relationships/hyperlink" Target="https://pravo-search.minjust.ru/bigs/showDocument.html?id=4111A435-A0B6-44E4-AAF9-67747DBA94F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7927</Words>
  <Characters>45189</Characters>
  <Application>Microsoft Office Word</Application>
  <DocSecurity>0</DocSecurity>
  <Lines>376</Lines>
  <Paragraphs>106</Paragraphs>
  <ScaleCrop>false</ScaleCrop>
  <Company/>
  <LinksUpToDate>false</LinksUpToDate>
  <CharactersWithSpaces>53010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2</cp:revision>
  <dcterms:created xsi:type="dcterms:W3CDTF">2023-08-17T06:00:00Z</dcterms:created>
  <dcterms:modified xsi:type="dcterms:W3CDTF">2023-08-17T06:01:00Z</dcterms:modified>
</cp:coreProperties>
</file>